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Estragón de semilla y estragón francés: aclarar el nombre antes de prometer el aroma</w:t>
      </w:r>
    </w:p>
    <w:p>
      <w:r>
        <w:t>El nombre «estragón» puede generar una expectativa de aroma que no coincide con el material disponible. En Bulk Seeds International, la recomendación debe clarifying primero qué tipo se busca y qué referencia se ofrece, sin atribuir al producto una identidad o una intensidad aromática no confirmadas. La especie, la denominación comercial y la procedencia del material son datos distintos: una descripción precisa debe conservarlos y explicar cualquier punto pendiente antes de la compra.</w:t>
      </w:r>
    </w:p>
    <w:p>
      <w:pPr>
        <w:pStyle w:val="Heading1"/>
      </w:pPr>
      <w:r>
        <w:t>Aclarar francés y ruso antes de recomendar</w:t>
      </w:r>
    </w:p>
    <w:p>
      <w:r>
        <w:t>La Royal Horticultural Society distingue el estragón francés y el ruso por diferencias de vigor y sabor. También indica que las semillas del estragón ruso están disponibles comercialmente, mientras que las del francés generalmente no se ofrecen. Por eso, no conviene deducir automáticamente el tipo a partir del nombre-botánico Artemisia dracunculus ni añadir «francés» a una ficha para conectarla con una receta conocida. Si el catálogo solo muestra la especie, hay que solicitar al proveedor una aclaración sobre el material y las denominaciones utilizadas. La respuesta debe quedar vinculada al código que identifica la referencia.</w:t>
      </w:r>
    </w:p>
    <w:p>
      <w:pPr>
        <w:pStyle w:val="Heading1"/>
      </w:pPr>
      <w:r>
        <w:t>Entender la expectativa culinaria del cliente</w:t>
      </w:r>
    </w:p>
    <w:p>
      <w:r>
        <w:t>Preguntar si el comprador conoce la planta utilizada o solo recuerda el nombre de un ingrediente permite ordenar la recomendación. Una referencia culinaria imprecisa puede explicar bien lo que espera, pero no demuestra qué planta produjo ese aroma. La tarea comercial es contrastar esa expectativa con el producto disponible, no prometer una intensidad exacta ni suponer que todas las personas percibirán el mismo sabor en cualquier cultivo. Si el objetivo principal es experimentar desde semilla, el comprador puede aceptar una opción distinta después de comprender sus características. Presentarlos como intercambiables elimina información relevante.</w:t>
      </w:r>
    </w:p>
    <w:p>
      <w:pPr>
        <w:pStyle w:val="Heading1"/>
      </w:pPr>
      <w:r>
        <w:t>Mantener coherentes fichas, imágenes y traducciones</w:t>
      </w:r>
    </w:p>
    <w:p>
      <w:r>
        <w:t>Sobre, listado de precios y cartela deben evitar la mezcla de nombres de tipos distintos. Una imagen de una planta no identificada puede reforzar una identificación equivocada aunque la descripción técnica sea correcta. Si se utiliza una fotografía general, debe indicarse y no sustituye la confirmación del material. En las traducciones, un nombre común importado puede recibir una equivalencia demasiado específica. Conviene conservar el nombre botánico, registrar el tipo confirmado y anotar la fuente y la fecha de la respuesta. Así, una interpretación antigua no reaparece como si fuera un dato actual del proveedor.</w:t>
      </w:r>
    </w:p>
    <w:p>
      <w:pPr>
        <w:pStyle w:val="Heading1"/>
      </w:pPr>
      <w:r>
        <w:t>Formular una recomendación proporcional</w:t>
      </w:r>
    </w:p>
    <w:p>
      <w:r>
        <w:t>Cuando falta la aclaración necesaria, explique qué se está consultando y por qué afecta al objetivo de compra. No hace falta afirmar que la semilla está mal ni descartar todos sus usos culinarios. La incertidumbre debe limitarse a la identificación de la referencia y resolverse antes de comparar cantidades y condiciones de suministro. Una respuesta breve sobre esta diferencia facilita una compra mejor que una descripción extensa que elude el punto pendiente. El resultado esperado es que cliente y personal puedan elegir con información concreta antes de iniciar el cultivo.</w:t>
      </w:r>
    </w:p>
    <w:p>
      <w:pPr>
        <w:pStyle w:val="Heading1"/>
      </w:pPr>
      <w:r>
        <w:t>Artículos relacionados</w:t>
      </w:r>
    </w:p>
    <w:p>
      <w:hyperlink r:id="rId9">
        <w:r>
          <w:rPr>
            <w:color w:val="087E75"/>
          </w:rPr>
          <w:t>Estragón de semilla y estragón francés: aclarar el nombre antes de prometer el aroma</w:t>
        </w:r>
      </w:hyperlink>
    </w:p>
    <w:p>
      <w:hyperlink r:id="rId10">
        <w:r>
          <w:rPr>
            <w:color w:val="087E75"/>
          </w:rPr>
          <w:t>Mejorana dulce al final del verano: decidir si el proyecto termina o continúa a cubierto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pages.dev/estragon-de-semilla-y-estragon-frances-aclarar-el-nombre-antes-de-prometer-el-aroma/" TargetMode="External"/><Relationship Id="rId10" Type="http://schemas.openxmlformats.org/officeDocument/2006/relationships/hyperlink" Target="https://bulkseedsinternational-es.pages.dev/mejorana-dulce-al-final-del-verano-decidir-si-el-proyecto-termina-o-continua-a-cubier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