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Cebollino y ajo chino: utilizar la forma de la hoja para explicar dos compras distintas</w:t>
      </w:r>
    </w:p>
    <w:p>
      <w:r>
        <w:t>Cebollino y ajo chino pueden comercializarse bajo nombres que inducen a pensar que se trata de la misma hoja o de una simple variante fotográfica. Para comprar con criterio, conviene relacionar la forma de la hoja con la identidad botánica, la referencia del producto y el uso previsto. Una etiqueta clara, una imagen coherente y una demostración identificada ayudan al cliente a distinguir ambas opciones y a reconocerlas en futuras compras.</w:t>
      </w:r>
    </w:p>
    <w:p>
      <w:pPr>
        <w:pStyle w:val="Heading1"/>
      </w:pPr>
      <w:r>
        <w:t>Distinguir la hoja y la identidad de la especie</w:t>
      </w:r>
    </w:p>
    <w:p>
      <w:r>
        <w:t>La principal diferencia visual descrita por la Royal Horticultural Society se encuentra en la forma de las hojas: Allium schoenoprasum presenta hojas cilíndricas, mientras que Allium tuberosum, conocido como ajo chino o cebollino de ajo, tiene hojas planas y un carácter aromático distinto. La ilustración comercial debe señalar qué rasgo se compara y a qué especie corresponde. El nombre botánico y la referencia del artículo deben permanecer visibles para que la imagen facilite la identificación y no la substitute.</w:t>
      </w:r>
    </w:p>
    <w:p>
      <w:pPr>
        <w:pStyle w:val="Heading1"/>
      </w:pPr>
      <w:r>
        <w:t>Usar las referencias del cliente</w:t>
      </w:r>
    </w:p>
    <w:p>
      <w:r>
        <w:t>Antes de recomendar una opción, resulta útil preguntar qué hoja utilizaba el comprador y qué esperaba cosechar. Puede recordar hojas finas para cortar sobre un plato o una hoja plana que conoció con otro nombre. Esa experiencia orienta la conversación, pero no reemplaza los datos del producto. Si la referencia recibida está incompleta, conviene aclararla antes de utilizar una denominación más específica. En las consultas al proveedor deben figurar el código, la especie y cualquier denominación varietal disponible; la cantidad y la unidad se añaden después sin borrar estos identificadores.</w:t>
      </w:r>
    </w:p>
    <w:p>
      <w:pPr>
        <w:pStyle w:val="Heading1"/>
      </w:pPr>
      <w:r>
        <w:t>Relacionar la compra con el espacio previsto</w:t>
      </w:r>
    </w:p>
    <w:p>
      <w:r>
        <w:t>La forma de la hoja no es el único factor que debe considerarse. También es necesario consultar el porte descrito del material y el espacio disponible. Una maceta imaginada a partir de una fotografía cercana puede parecer mayor de lo que es. Por ello, conviene requesting medidas sencillas y preguntar si la planta compartirá el recipiente. La recomendación debe corresponder tanto al espacio real como al uso que se pretende mantener.</w:t>
      </w:r>
    </w:p>
    <w:p>
      <w:pPr>
        <w:pStyle w:val="Heading1"/>
      </w:pPr>
      <w:r>
        <w:t>Preparar etiquetas y demostraciones identificables</w:t>
      </w:r>
    </w:p>
    <w:p>
      <w:r>
        <w:t>En el expositor, la identidad botánica y el nombre habitual pueden aparecer en líneas separadas, manteniendo el vínculo entre ambos. No conviene agrupar automáticamente todos los Allium como equivalentes culinarios ni extender recomendaciones de una especie a otras. Una demostración con una maceta de cada especie ayuda a formar al personal si cada ejemplar conserva una etiqueta fiable, las hojas se muestran sin mezclarse y se relacionan con su ficha. Esta demostración no debe utilizarse como prueba visual para decidir si una hoja recogida fuera del cultivo es comestible, ya que esa situación requiere una identificación independiente.</w:t>
      </w:r>
    </w:p>
    <w:p>
      <w:pPr>
        <w:pStyle w:val="Heading1"/>
      </w:pPr>
      <w:r>
        <w:t>Artículos relacionados</w:t>
      </w:r>
    </w:p>
    <w:p>
      <w:hyperlink r:id="rId9">
        <w:r>
          <w:rPr>
            <w:color w:val="087E75"/>
          </w:rPr>
          <w:t>Cebollino y ajo chino: utilizar la forma de la hoja para explicar dos compras distintas</w:t>
        </w:r>
      </w:hyperlink>
    </w:p>
    <w:p>
      <w:hyperlink r:id="rId10">
        <w:r>
          <w:rPr>
            <w:color w:val="087E75"/>
          </w:rPr>
          <w:t>Mejorana dulce al final del verano: decidir si el proyecto termina o continúa a cubierto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pages.dev/cebollino-y-ajo-chino-utilizar-la-forma-de-la-hoja-para-explicar-dos-compras-distintas/" TargetMode="External"/><Relationship Id="rId10" Type="http://schemas.openxmlformats.org/officeDocument/2006/relationships/hyperlink" Target="https://bulkseedsinternational-es.pages.dev/mejorana-dulce-al-final-del-verano-decidir-si-el-proyecto-termina-o-continua-a-cubier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